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FB9" w:rsidRDefault="00910FB9" w:rsidP="004D70B9">
      <w:pPr>
        <w:pStyle w:val="block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4C4C4C"/>
          <w:u w:val="single"/>
        </w:rPr>
      </w:pPr>
    </w:p>
    <w:p w:rsidR="00910FB9" w:rsidRPr="00AC6A00" w:rsidRDefault="00910FB9" w:rsidP="00910FB9">
      <w:pPr>
        <w:ind w:left="360"/>
      </w:pPr>
    </w:p>
    <w:p w:rsidR="00910FB9" w:rsidRPr="00023D3F" w:rsidRDefault="00910FB9" w:rsidP="00910FB9">
      <w:pPr>
        <w:rPr>
          <w:b/>
        </w:rPr>
      </w:pPr>
      <w:r>
        <w:rPr>
          <w:b/>
        </w:rPr>
        <w:t xml:space="preserve">                             </w:t>
      </w:r>
      <w:r w:rsidRPr="00023D3F">
        <w:rPr>
          <w:b/>
        </w:rPr>
        <w:t xml:space="preserve"> (pre-</w:t>
      </w:r>
      <w:proofErr w:type="gramStart"/>
      <w:r w:rsidRPr="00023D3F">
        <w:rPr>
          <w:b/>
        </w:rPr>
        <w:t xml:space="preserve">modern)   </w:t>
      </w:r>
      <w:proofErr w:type="gramEnd"/>
      <w:r w:rsidRPr="00023D3F">
        <w:rPr>
          <w:b/>
        </w:rPr>
        <w:t xml:space="preserve">    (urban/industrial)  (mature industrial)    (</w:t>
      </w:r>
      <w:proofErr w:type="spellStart"/>
      <w:r w:rsidRPr="00023D3F">
        <w:rPr>
          <w:b/>
        </w:rPr>
        <w:t>post industrial</w:t>
      </w:r>
      <w:proofErr w:type="spellEnd"/>
      <w:r>
        <w:rPr>
          <w:b/>
        </w:rPr>
        <w:t>)</w:t>
      </w:r>
      <w:r w:rsidRPr="00023D3F">
        <w:rPr>
          <w:b/>
        </w:rPr>
        <w:t xml:space="preserve">  (declining?)</w:t>
      </w:r>
    </w:p>
    <w:p w:rsidR="00910FB9" w:rsidRDefault="00910FB9" w:rsidP="00910FB9">
      <w:pPr>
        <w:jc w:val="center"/>
      </w:pPr>
      <w:r>
        <w:rPr>
          <w:noProof/>
        </w:rPr>
        <w:drawing>
          <wp:inline distT="0" distB="0" distL="0" distR="0" wp14:anchorId="4EB3EC16" wp14:editId="6774ECEB">
            <wp:extent cx="6325870" cy="2457450"/>
            <wp:effectExtent l="0" t="0" r="0" b="0"/>
            <wp:docPr id="1" name="Picture 1" descr="http://www.newgeography.com/files/demographic_transition_detai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wgeography.com/files/demographic_transition_detail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734"/>
                    <a:stretch/>
                  </pic:blipFill>
                  <pic:spPr bwMode="auto">
                    <a:xfrm>
                      <a:off x="0" y="0"/>
                      <a:ext cx="6350292" cy="246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0FB9" w:rsidRDefault="00910FB9" w:rsidP="004D70B9">
      <w:pPr>
        <w:pStyle w:val="block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4C4C4C"/>
          <w:u w:val="single"/>
        </w:rPr>
      </w:pPr>
    </w:p>
    <w:p w:rsidR="004D70B9" w:rsidRPr="004D70B9" w:rsidRDefault="004D70B9" w:rsidP="004D70B9">
      <w:pPr>
        <w:pStyle w:val="block"/>
        <w:spacing w:before="0" w:beforeAutospacing="0" w:after="0" w:afterAutospacing="0" w:line="360" w:lineRule="auto"/>
        <w:jc w:val="center"/>
        <w:rPr>
          <w:rFonts w:ascii="Arial" w:hAnsi="Arial" w:cs="Arial"/>
          <w:color w:val="4C4C4C"/>
        </w:rPr>
      </w:pPr>
      <w:hyperlink r:id="rId5" w:tgtFrame="_blank" w:history="1">
        <w:r w:rsidRPr="004D70B9">
          <w:rPr>
            <w:rStyle w:val="Hyperlink"/>
            <w:rFonts w:ascii="Arial" w:hAnsi="Arial" w:cs="Arial"/>
            <w:b/>
            <w:bCs/>
            <w:color w:val="0079C1"/>
          </w:rPr>
          <w:t>Stage 1</w:t>
        </w:r>
      </w:hyperlink>
      <w:r w:rsidRPr="004D70B9">
        <w:rPr>
          <w:rFonts w:ascii="Arial" w:hAnsi="Arial" w:cs="Arial"/>
          <w:b/>
          <w:bCs/>
          <w:color w:val="4C4C4C"/>
          <w:u w:val="single"/>
        </w:rPr>
        <w:t xml:space="preserve"> - High Stationary:</w:t>
      </w:r>
    </w:p>
    <w:p w:rsidR="004D70B9" w:rsidRPr="004D70B9" w:rsidRDefault="004D70B9" w:rsidP="004D70B9">
      <w:pPr>
        <w:pStyle w:val="block"/>
        <w:spacing w:before="0" w:beforeAutospacing="0" w:after="0" w:afterAutospacing="0" w:line="360" w:lineRule="auto"/>
        <w:rPr>
          <w:rFonts w:ascii="Arial" w:hAnsi="Arial" w:cs="Arial"/>
          <w:color w:val="4C4C4C"/>
        </w:rPr>
      </w:pPr>
      <w:r w:rsidRPr="004D70B9">
        <w:rPr>
          <w:rFonts w:ascii="Arial" w:hAnsi="Arial" w:cs="Arial"/>
          <w:color w:val="4C4C4C"/>
        </w:rPr>
        <w:t>Pre-Industrial (have not undergone industrialization), largely agricultural groups (primary sector dominant)</w:t>
      </w:r>
    </w:p>
    <w:p w:rsidR="004D70B9" w:rsidRPr="004D70B9" w:rsidRDefault="004D70B9" w:rsidP="004D70B9">
      <w:pPr>
        <w:pStyle w:val="block"/>
        <w:spacing w:before="0" w:beforeAutospacing="0" w:after="0" w:afterAutospacing="0" w:line="360" w:lineRule="auto"/>
        <w:rPr>
          <w:rFonts w:ascii="Arial" w:hAnsi="Arial" w:cs="Arial"/>
          <w:color w:val="4C4C4C"/>
        </w:rPr>
      </w:pPr>
      <w:r w:rsidRPr="004D70B9">
        <w:rPr>
          <w:rFonts w:ascii="Arial" w:hAnsi="Arial" w:cs="Arial"/>
          <w:b/>
          <w:bCs/>
          <w:color w:val="4C4C4C"/>
        </w:rPr>
        <w:t>Defining characteristics:</w:t>
      </w:r>
      <w:r w:rsidRPr="004D70B9">
        <w:rPr>
          <w:rFonts w:ascii="Arial" w:hAnsi="Arial" w:cs="Arial"/>
          <w:color w:val="4C4C4C"/>
        </w:rPr>
        <w:t xml:space="preserve"> High CBR, high CDR, low/no NIR, low overall population numbers</w:t>
      </w:r>
    </w:p>
    <w:p w:rsidR="004D70B9" w:rsidRPr="004D70B9" w:rsidRDefault="004D70B9" w:rsidP="004D70B9">
      <w:pPr>
        <w:pStyle w:val="block"/>
        <w:spacing w:before="0" w:beforeAutospacing="0" w:after="0" w:afterAutospacing="0" w:line="360" w:lineRule="auto"/>
        <w:rPr>
          <w:rFonts w:ascii="Arial" w:hAnsi="Arial" w:cs="Arial"/>
          <w:color w:val="4C4C4C"/>
        </w:rPr>
      </w:pPr>
      <w:r w:rsidRPr="004D70B9">
        <w:rPr>
          <w:rFonts w:ascii="Arial" w:hAnsi="Arial" w:cs="Arial"/>
          <w:b/>
          <w:bCs/>
          <w:color w:val="4C4C4C"/>
          <w:u w:val="single"/>
        </w:rPr>
        <w:t>Reasons for high CBR</w:t>
      </w:r>
    </w:p>
    <w:p w:rsidR="004D70B9" w:rsidRPr="004D70B9" w:rsidRDefault="004D70B9" w:rsidP="004D70B9">
      <w:pPr>
        <w:pStyle w:val="block"/>
        <w:spacing w:before="0" w:beforeAutospacing="0" w:after="0" w:afterAutospacing="0" w:line="360" w:lineRule="auto"/>
        <w:rPr>
          <w:rFonts w:ascii="Arial" w:hAnsi="Arial" w:cs="Arial"/>
          <w:color w:val="4C4C4C"/>
        </w:rPr>
      </w:pPr>
      <w:r w:rsidRPr="004D70B9">
        <w:rPr>
          <w:rFonts w:ascii="Arial" w:hAnsi="Arial" w:cs="Arial"/>
          <w:b/>
          <w:bCs/>
          <w:color w:val="4C4C4C"/>
        </w:rPr>
        <w:t>- High IMR.</w:t>
      </w:r>
      <w:r w:rsidRPr="004D70B9">
        <w:rPr>
          <w:rFonts w:ascii="Arial" w:hAnsi="Arial" w:cs="Arial"/>
          <w:color w:val="4C4C4C"/>
        </w:rPr>
        <w:t xml:space="preserve"> When families are not confident their children will survive, they have typically had more children so that some survive to adulthood.</w:t>
      </w:r>
    </w:p>
    <w:p w:rsidR="004D70B9" w:rsidRPr="004D70B9" w:rsidRDefault="004D70B9" w:rsidP="004D70B9">
      <w:pPr>
        <w:pStyle w:val="block"/>
        <w:spacing w:before="0" w:beforeAutospacing="0" w:after="0" w:afterAutospacing="0" w:line="360" w:lineRule="auto"/>
        <w:rPr>
          <w:rFonts w:ascii="Arial" w:hAnsi="Arial" w:cs="Arial"/>
          <w:color w:val="4C4C4C"/>
        </w:rPr>
      </w:pPr>
      <w:r w:rsidRPr="004D70B9">
        <w:rPr>
          <w:rFonts w:ascii="Arial" w:hAnsi="Arial" w:cs="Arial"/>
          <w:b/>
          <w:bCs/>
          <w:color w:val="4C4C4C"/>
        </w:rPr>
        <w:t>- Lack of family planning.</w:t>
      </w:r>
      <w:r w:rsidRPr="004D70B9">
        <w:rPr>
          <w:rFonts w:ascii="Arial" w:hAnsi="Arial" w:cs="Arial"/>
          <w:color w:val="4C4C4C"/>
        </w:rPr>
        <w:t xml:space="preserve"> Contraceptives are designed to prevent pregnancy. Therefore, in areas where contraceptives are </w:t>
      </w:r>
      <w:hyperlink r:id="rId6" w:tgtFrame="_blank" w:history="1">
        <w:r w:rsidRPr="004D70B9">
          <w:rPr>
            <w:rStyle w:val="Hyperlink"/>
            <w:rFonts w:ascii="Arial" w:hAnsi="Arial" w:cs="Arial"/>
            <w:color w:val="0079C1"/>
          </w:rPr>
          <w:t>not readily available</w:t>
        </w:r>
      </w:hyperlink>
      <w:r w:rsidRPr="004D70B9">
        <w:rPr>
          <w:rFonts w:ascii="Arial" w:hAnsi="Arial" w:cs="Arial"/>
          <w:color w:val="4C4C4C"/>
        </w:rPr>
        <w:t xml:space="preserve"> or not socially acceptable, birth rates will be higher.</w:t>
      </w:r>
    </w:p>
    <w:p w:rsidR="004D70B9" w:rsidRPr="004D70B9" w:rsidRDefault="004D70B9" w:rsidP="004D70B9">
      <w:pPr>
        <w:pStyle w:val="block"/>
        <w:spacing w:before="0" w:beforeAutospacing="0" w:after="0" w:afterAutospacing="0" w:line="360" w:lineRule="auto"/>
        <w:rPr>
          <w:rFonts w:ascii="Arial" w:hAnsi="Arial" w:cs="Arial"/>
          <w:color w:val="4C4C4C"/>
        </w:rPr>
      </w:pPr>
      <w:r w:rsidRPr="004D70B9">
        <w:rPr>
          <w:rFonts w:ascii="Arial" w:hAnsi="Arial" w:cs="Arial"/>
          <w:b/>
          <w:bCs/>
          <w:color w:val="4C4C4C"/>
        </w:rPr>
        <w:t>- Children are economic assets.</w:t>
      </w:r>
      <w:r w:rsidRPr="004D70B9">
        <w:rPr>
          <w:rFonts w:ascii="Arial" w:hAnsi="Arial" w:cs="Arial"/>
          <w:color w:val="4C4C4C"/>
        </w:rPr>
        <w:t xml:space="preserve"> They will work in the fields &amp; support parents as they get older.</w:t>
      </w:r>
    </w:p>
    <w:p w:rsidR="004D70B9" w:rsidRPr="004D70B9" w:rsidRDefault="004D70B9" w:rsidP="004D70B9">
      <w:pPr>
        <w:pStyle w:val="block"/>
        <w:spacing w:before="0" w:beforeAutospacing="0" w:after="0" w:afterAutospacing="0" w:line="360" w:lineRule="auto"/>
        <w:rPr>
          <w:rFonts w:ascii="Arial" w:hAnsi="Arial" w:cs="Arial"/>
          <w:color w:val="4C4C4C"/>
        </w:rPr>
      </w:pPr>
      <w:r w:rsidRPr="004D70B9">
        <w:rPr>
          <w:rFonts w:ascii="Arial" w:hAnsi="Arial" w:cs="Arial"/>
          <w:b/>
          <w:bCs/>
          <w:color w:val="4C4C4C"/>
        </w:rPr>
        <w:t>- Historically, certain cultural/</w:t>
      </w:r>
      <w:hyperlink r:id="rId7" w:tgtFrame="_blank" w:history="1">
        <w:r w:rsidRPr="004D70B9">
          <w:rPr>
            <w:rStyle w:val="Hyperlink"/>
            <w:rFonts w:ascii="Arial" w:hAnsi="Arial" w:cs="Arial"/>
            <w:b/>
            <w:bCs/>
            <w:color w:val="0079C1"/>
          </w:rPr>
          <w:t xml:space="preserve">religious </w:t>
        </w:r>
      </w:hyperlink>
      <w:r w:rsidRPr="004D70B9">
        <w:rPr>
          <w:rFonts w:ascii="Arial" w:hAnsi="Arial" w:cs="Arial"/>
          <w:b/>
          <w:bCs/>
          <w:color w:val="4C4C4C"/>
        </w:rPr>
        <w:t>groups have had larger families</w:t>
      </w:r>
      <w:r w:rsidRPr="004D70B9">
        <w:rPr>
          <w:rFonts w:ascii="Arial" w:hAnsi="Arial" w:cs="Arial"/>
          <w:color w:val="4C4C4C"/>
        </w:rPr>
        <w:t xml:space="preserve"> (</w:t>
      </w:r>
      <w:hyperlink r:id="rId8" w:tgtFrame="_blank" w:history="1">
        <w:r w:rsidRPr="004D70B9">
          <w:rPr>
            <w:rStyle w:val="Hyperlink"/>
            <w:rFonts w:ascii="Arial" w:hAnsi="Arial" w:cs="Arial"/>
            <w:color w:val="0079C1"/>
          </w:rPr>
          <w:t>Hindus, Catholics, Muslims</w:t>
        </w:r>
      </w:hyperlink>
      <w:r w:rsidRPr="004D70B9">
        <w:rPr>
          <w:rFonts w:ascii="Arial" w:hAnsi="Arial" w:cs="Arial"/>
          <w:color w:val="4C4C4C"/>
        </w:rPr>
        <w:t xml:space="preserve">). This is not necessarily true </w:t>
      </w:r>
      <w:proofErr w:type="spellStart"/>
      <w:r w:rsidRPr="004D70B9">
        <w:rPr>
          <w:rFonts w:ascii="Arial" w:hAnsi="Arial" w:cs="Arial"/>
          <w:color w:val="4C4C4C"/>
        </w:rPr>
        <w:t>any more</w:t>
      </w:r>
      <w:proofErr w:type="spellEnd"/>
      <w:r w:rsidRPr="004D70B9">
        <w:rPr>
          <w:rFonts w:ascii="Arial" w:hAnsi="Arial" w:cs="Arial"/>
          <w:color w:val="4C4C4C"/>
        </w:rPr>
        <w:t>.</w:t>
      </w:r>
    </w:p>
    <w:p w:rsidR="004D70B9" w:rsidRPr="004D70B9" w:rsidRDefault="004D70B9" w:rsidP="004D70B9">
      <w:pPr>
        <w:pStyle w:val="block"/>
        <w:spacing w:before="0" w:beforeAutospacing="0" w:after="0" w:afterAutospacing="0" w:line="360" w:lineRule="auto"/>
        <w:rPr>
          <w:rFonts w:ascii="Arial" w:hAnsi="Arial" w:cs="Arial"/>
          <w:color w:val="4C4C4C"/>
        </w:rPr>
      </w:pPr>
      <w:r w:rsidRPr="004D70B9">
        <w:rPr>
          <w:rFonts w:ascii="Arial" w:hAnsi="Arial" w:cs="Arial"/>
          <w:b/>
          <w:bCs/>
          <w:color w:val="4C4C4C"/>
          <w:u w:val="single"/>
        </w:rPr>
        <w:t>Reasons for high CDR</w:t>
      </w:r>
    </w:p>
    <w:p w:rsidR="004D70B9" w:rsidRPr="004D70B9" w:rsidRDefault="004D70B9" w:rsidP="004D70B9">
      <w:pPr>
        <w:pStyle w:val="block"/>
        <w:spacing w:before="0" w:beforeAutospacing="0" w:after="0" w:afterAutospacing="0" w:line="360" w:lineRule="auto"/>
        <w:rPr>
          <w:rFonts w:ascii="Arial" w:hAnsi="Arial" w:cs="Arial"/>
          <w:color w:val="4C4C4C"/>
        </w:rPr>
      </w:pPr>
      <w:r w:rsidRPr="004D70B9">
        <w:rPr>
          <w:rFonts w:ascii="Arial" w:hAnsi="Arial" w:cs="Arial"/>
          <w:color w:val="4C4C4C"/>
        </w:rPr>
        <w:t xml:space="preserve">- </w:t>
      </w:r>
      <w:r w:rsidRPr="004D70B9">
        <w:rPr>
          <w:rFonts w:ascii="Arial" w:hAnsi="Arial" w:cs="Arial"/>
          <w:b/>
          <w:bCs/>
          <w:color w:val="4C4C4C"/>
        </w:rPr>
        <w:t>Disease, famine, war</w:t>
      </w:r>
      <w:r w:rsidRPr="004D70B9">
        <w:rPr>
          <w:rFonts w:ascii="Arial" w:hAnsi="Arial" w:cs="Arial"/>
          <w:color w:val="4C4C4C"/>
        </w:rPr>
        <w:t xml:space="preserve"> will all lead to high (although inconsistently high) death rates.</w:t>
      </w:r>
    </w:p>
    <w:p w:rsidR="004D70B9" w:rsidRPr="004D70B9" w:rsidRDefault="004D70B9" w:rsidP="004D70B9">
      <w:pPr>
        <w:pStyle w:val="block"/>
        <w:spacing w:before="0" w:beforeAutospacing="0" w:after="0" w:afterAutospacing="0" w:line="360" w:lineRule="auto"/>
        <w:rPr>
          <w:rFonts w:ascii="Arial" w:hAnsi="Arial" w:cs="Arial"/>
          <w:color w:val="4C4C4C"/>
        </w:rPr>
      </w:pPr>
      <w:r w:rsidRPr="004D70B9">
        <w:rPr>
          <w:rFonts w:ascii="Arial" w:hAnsi="Arial" w:cs="Arial"/>
          <w:b/>
          <w:bCs/>
          <w:color w:val="4C4C4C"/>
        </w:rPr>
        <w:lastRenderedPageBreak/>
        <w:t>- Poor hygiene &amp; sanitation.</w:t>
      </w:r>
      <w:r w:rsidRPr="004D70B9">
        <w:rPr>
          <w:rFonts w:ascii="Arial" w:hAnsi="Arial" w:cs="Arial"/>
          <w:color w:val="4C4C4C"/>
        </w:rPr>
        <w:t xml:space="preserve"> This leads to higher CDR, IMR, CMR, and lower life expectancy. The World Bank estimates that </w:t>
      </w:r>
      <w:hyperlink r:id="rId9" w:tgtFrame="_blank" w:history="1">
        <w:r w:rsidRPr="004D70B9">
          <w:rPr>
            <w:rStyle w:val="Hyperlink"/>
            <w:rFonts w:ascii="Arial" w:hAnsi="Arial" w:cs="Arial"/>
            <w:color w:val="0079C1"/>
          </w:rPr>
          <w:t>2.4 billion people</w:t>
        </w:r>
      </w:hyperlink>
      <w:r w:rsidRPr="004D70B9">
        <w:rPr>
          <w:rFonts w:ascii="Arial" w:hAnsi="Arial" w:cs="Arial"/>
          <w:color w:val="4C4C4C"/>
        </w:rPr>
        <w:t xml:space="preserve"> still lack access to a toilet. November 19 is </w:t>
      </w:r>
      <w:hyperlink r:id="rId10" w:tgtFrame="_blank" w:history="1">
        <w:r w:rsidRPr="004D70B9">
          <w:rPr>
            <w:rStyle w:val="Hyperlink"/>
            <w:rFonts w:ascii="Arial" w:hAnsi="Arial" w:cs="Arial"/>
            <w:color w:val="0079C1"/>
          </w:rPr>
          <w:t>World Toilet Day</w:t>
        </w:r>
      </w:hyperlink>
      <w:r w:rsidRPr="004D70B9">
        <w:rPr>
          <w:rFonts w:ascii="Arial" w:hAnsi="Arial" w:cs="Arial"/>
          <w:color w:val="4C4C4C"/>
        </w:rPr>
        <w:t>.</w:t>
      </w:r>
    </w:p>
    <w:p w:rsidR="004D70B9" w:rsidRPr="004D70B9" w:rsidRDefault="004D70B9" w:rsidP="004D70B9">
      <w:pPr>
        <w:pStyle w:val="block"/>
        <w:spacing w:before="0" w:beforeAutospacing="0" w:after="0" w:afterAutospacing="0" w:line="360" w:lineRule="auto"/>
        <w:rPr>
          <w:rFonts w:ascii="Arial" w:hAnsi="Arial" w:cs="Arial"/>
          <w:color w:val="4C4C4C"/>
        </w:rPr>
      </w:pPr>
      <w:r w:rsidRPr="004D70B9">
        <w:rPr>
          <w:rFonts w:ascii="Arial" w:hAnsi="Arial" w:cs="Arial"/>
          <w:b/>
          <w:bCs/>
          <w:color w:val="4C4C4C"/>
        </w:rPr>
        <w:t>- Lack of healthcare.</w:t>
      </w:r>
      <w:r w:rsidRPr="004D70B9">
        <w:rPr>
          <w:rFonts w:ascii="Arial" w:hAnsi="Arial" w:cs="Arial"/>
          <w:color w:val="4C4C4C"/>
        </w:rPr>
        <w:t xml:space="preserve"> This can be measured by numbers of </w:t>
      </w:r>
      <w:hyperlink r:id="rId11" w:tgtFrame="_blank" w:history="1">
        <w:r w:rsidRPr="004D70B9">
          <w:rPr>
            <w:rStyle w:val="Hyperlink"/>
            <w:rFonts w:ascii="Arial" w:hAnsi="Arial" w:cs="Arial"/>
            <w:color w:val="0079C1"/>
          </w:rPr>
          <w:t>doctors</w:t>
        </w:r>
      </w:hyperlink>
      <w:r w:rsidRPr="004D70B9">
        <w:rPr>
          <w:rFonts w:ascii="Arial" w:hAnsi="Arial" w:cs="Arial"/>
          <w:color w:val="4C4C4C"/>
        </w:rPr>
        <w:t xml:space="preserve"> and </w:t>
      </w:r>
      <w:hyperlink r:id="rId12" w:tgtFrame="_blank" w:history="1">
        <w:r w:rsidRPr="004D70B9">
          <w:rPr>
            <w:rStyle w:val="Hyperlink"/>
            <w:rFonts w:ascii="Arial" w:hAnsi="Arial" w:cs="Arial"/>
            <w:color w:val="0079C1"/>
          </w:rPr>
          <w:t>hospital beds</w:t>
        </w:r>
      </w:hyperlink>
      <w:r w:rsidRPr="004D70B9">
        <w:rPr>
          <w:rFonts w:ascii="Arial" w:hAnsi="Arial" w:cs="Arial"/>
          <w:color w:val="4C4C4C"/>
        </w:rPr>
        <w:t>. This is still particularly an issue in rural (largely agricultural) areas.</w:t>
      </w:r>
    </w:p>
    <w:p w:rsidR="004D70B9" w:rsidRDefault="004D70B9" w:rsidP="004D70B9">
      <w:pPr>
        <w:pStyle w:val="block"/>
        <w:spacing w:before="0" w:beforeAutospacing="0" w:after="0" w:afterAutospacing="0" w:line="360" w:lineRule="auto"/>
        <w:rPr>
          <w:rFonts w:ascii="Arial" w:hAnsi="Arial" w:cs="Arial"/>
          <w:color w:val="4C4C4C"/>
        </w:rPr>
      </w:pPr>
    </w:p>
    <w:p w:rsidR="004D70B9" w:rsidRPr="004D70B9" w:rsidRDefault="004D70B9" w:rsidP="004D70B9">
      <w:pPr>
        <w:pStyle w:val="block"/>
        <w:spacing w:before="0" w:beforeAutospacing="0" w:after="0" w:afterAutospacing="0" w:line="360" w:lineRule="auto"/>
        <w:rPr>
          <w:rFonts w:ascii="Arial" w:hAnsi="Arial" w:cs="Arial"/>
          <w:color w:val="4C4C4C"/>
        </w:rPr>
      </w:pPr>
    </w:p>
    <w:p w:rsidR="004D70B9" w:rsidRPr="004D70B9" w:rsidRDefault="006B7989" w:rsidP="004D70B9">
      <w:pPr>
        <w:pStyle w:val="block"/>
        <w:spacing w:before="0" w:beforeAutospacing="0" w:after="0" w:afterAutospacing="0" w:line="360" w:lineRule="auto"/>
        <w:jc w:val="center"/>
        <w:rPr>
          <w:rFonts w:ascii="Arial" w:hAnsi="Arial" w:cs="Arial"/>
          <w:color w:val="4C4C4C"/>
        </w:rPr>
      </w:pPr>
      <w:hyperlink r:id="rId13" w:tgtFrame="_blank" w:history="1">
        <w:r w:rsidR="004D70B9" w:rsidRPr="004D70B9">
          <w:rPr>
            <w:rStyle w:val="Hyperlink"/>
            <w:rFonts w:ascii="Arial" w:hAnsi="Arial" w:cs="Arial"/>
            <w:b/>
            <w:bCs/>
            <w:color w:val="0079C1"/>
          </w:rPr>
          <w:t>Stage 2</w:t>
        </w:r>
      </w:hyperlink>
      <w:r w:rsidR="004D70B9" w:rsidRPr="004D70B9">
        <w:rPr>
          <w:rFonts w:ascii="Arial" w:hAnsi="Arial" w:cs="Arial"/>
          <w:b/>
          <w:bCs/>
          <w:color w:val="4C4C4C"/>
          <w:u w:val="single"/>
        </w:rPr>
        <w:t>: Early Expanding</w:t>
      </w:r>
    </w:p>
    <w:p w:rsidR="004D70B9" w:rsidRPr="004D70B9" w:rsidRDefault="004D70B9" w:rsidP="004D70B9">
      <w:pPr>
        <w:pStyle w:val="block"/>
        <w:spacing w:before="0" w:beforeAutospacing="0" w:after="0" w:afterAutospacing="0" w:line="360" w:lineRule="auto"/>
        <w:rPr>
          <w:rFonts w:ascii="Arial" w:hAnsi="Arial" w:cs="Arial"/>
          <w:color w:val="4C4C4C"/>
        </w:rPr>
      </w:pPr>
      <w:r w:rsidRPr="004D70B9">
        <w:rPr>
          <w:rFonts w:ascii="Arial" w:hAnsi="Arial" w:cs="Arial"/>
          <w:color w:val="4C4C4C"/>
        </w:rPr>
        <w:t xml:space="preserve">Industrializing (BEGINNING to industrialize), still largely agricultural, but new </w:t>
      </w:r>
      <w:proofErr w:type="gramStart"/>
      <w:r w:rsidRPr="004D70B9">
        <w:rPr>
          <w:rFonts w:ascii="Arial" w:hAnsi="Arial" w:cs="Arial"/>
          <w:color w:val="4C4C4C"/>
        </w:rPr>
        <w:t>labor saving</w:t>
      </w:r>
      <w:proofErr w:type="gramEnd"/>
      <w:r w:rsidRPr="004D70B9">
        <w:rPr>
          <w:rFonts w:ascii="Arial" w:hAnsi="Arial" w:cs="Arial"/>
          <w:color w:val="4C4C4C"/>
        </w:rPr>
        <w:t xml:space="preserve"> technology is emerging (rising secondary sector)</w:t>
      </w:r>
    </w:p>
    <w:p w:rsidR="004D70B9" w:rsidRPr="004D70B9" w:rsidRDefault="004D70B9" w:rsidP="004D70B9">
      <w:pPr>
        <w:pStyle w:val="block"/>
        <w:spacing w:before="0" w:beforeAutospacing="0" w:after="0" w:afterAutospacing="0" w:line="360" w:lineRule="auto"/>
        <w:rPr>
          <w:rFonts w:ascii="Arial" w:hAnsi="Arial" w:cs="Arial"/>
          <w:color w:val="4C4C4C"/>
        </w:rPr>
      </w:pPr>
      <w:r w:rsidRPr="004D70B9">
        <w:rPr>
          <w:rFonts w:ascii="Arial" w:hAnsi="Arial" w:cs="Arial"/>
          <w:color w:val="4C4C4C"/>
        </w:rPr>
        <w:t xml:space="preserve">Corresponds with </w:t>
      </w:r>
      <w:r w:rsidRPr="004D70B9">
        <w:rPr>
          <w:rFonts w:ascii="Arial" w:hAnsi="Arial" w:cs="Arial"/>
          <w:b/>
          <w:bCs/>
          <w:color w:val="4C4C4C"/>
          <w:u w:val="single"/>
        </w:rPr>
        <w:t>periphery</w:t>
      </w:r>
      <w:r w:rsidRPr="004D70B9">
        <w:rPr>
          <w:rFonts w:ascii="Arial" w:hAnsi="Arial" w:cs="Arial"/>
          <w:color w:val="4C4C4C"/>
        </w:rPr>
        <w:t xml:space="preserve"> countries</w:t>
      </w:r>
    </w:p>
    <w:p w:rsidR="004D70B9" w:rsidRPr="004D70B9" w:rsidRDefault="004D70B9" w:rsidP="004D70B9">
      <w:pPr>
        <w:pStyle w:val="block"/>
        <w:spacing w:before="0" w:beforeAutospacing="0" w:after="0" w:afterAutospacing="0" w:line="360" w:lineRule="auto"/>
        <w:rPr>
          <w:rFonts w:ascii="Arial" w:hAnsi="Arial" w:cs="Arial"/>
          <w:color w:val="4C4C4C"/>
        </w:rPr>
      </w:pPr>
      <w:r w:rsidRPr="004D70B9">
        <w:rPr>
          <w:rFonts w:ascii="Arial" w:hAnsi="Arial" w:cs="Arial"/>
          <w:b/>
          <w:bCs/>
          <w:color w:val="4C4C4C"/>
        </w:rPr>
        <w:t>Defining characteristics</w:t>
      </w:r>
      <w:r w:rsidRPr="004D70B9">
        <w:rPr>
          <w:rFonts w:ascii="Arial" w:hAnsi="Arial" w:cs="Arial"/>
          <w:color w:val="4C4C4C"/>
        </w:rPr>
        <w:t>: High CBR, rapidly declining CDR, high NIR (highest NIR is in stage 2)</w:t>
      </w:r>
    </w:p>
    <w:p w:rsidR="004D70B9" w:rsidRPr="004D70B9" w:rsidRDefault="004D70B9" w:rsidP="004D70B9">
      <w:pPr>
        <w:pStyle w:val="block"/>
        <w:spacing w:before="0" w:beforeAutospacing="0" w:after="0" w:afterAutospacing="0" w:line="360" w:lineRule="auto"/>
        <w:rPr>
          <w:rFonts w:ascii="Arial" w:hAnsi="Arial" w:cs="Arial"/>
          <w:color w:val="4C4C4C"/>
        </w:rPr>
      </w:pPr>
      <w:r w:rsidRPr="004D70B9">
        <w:rPr>
          <w:rFonts w:ascii="Arial" w:hAnsi="Arial" w:cs="Arial"/>
          <w:b/>
          <w:bCs/>
          <w:color w:val="4C4C4C"/>
          <w:u w:val="single"/>
        </w:rPr>
        <w:t>Reasons for high CBR</w:t>
      </w:r>
    </w:p>
    <w:p w:rsidR="004D70B9" w:rsidRPr="004D70B9" w:rsidRDefault="004D70B9" w:rsidP="004D70B9">
      <w:pPr>
        <w:pStyle w:val="block"/>
        <w:spacing w:before="0" w:beforeAutospacing="0" w:after="0" w:afterAutospacing="0" w:line="360" w:lineRule="auto"/>
        <w:rPr>
          <w:rFonts w:ascii="Arial" w:hAnsi="Arial" w:cs="Arial"/>
          <w:color w:val="4C4C4C"/>
        </w:rPr>
      </w:pPr>
      <w:r w:rsidRPr="004D70B9">
        <w:rPr>
          <w:rFonts w:ascii="Arial" w:hAnsi="Arial" w:cs="Arial"/>
          <w:b/>
          <w:bCs/>
          <w:color w:val="4C4C4C"/>
        </w:rPr>
        <w:t>- Same reasons as stage 1</w:t>
      </w:r>
      <w:r w:rsidRPr="004D70B9">
        <w:rPr>
          <w:rFonts w:ascii="Arial" w:hAnsi="Arial" w:cs="Arial"/>
          <w:color w:val="4C4C4C"/>
        </w:rPr>
        <w:t>. Remember the CBR doesn't increase, it just REMAINS HIGH</w:t>
      </w:r>
    </w:p>
    <w:p w:rsidR="004D70B9" w:rsidRPr="004D70B9" w:rsidRDefault="004D70B9" w:rsidP="004D70B9">
      <w:pPr>
        <w:pStyle w:val="block"/>
        <w:spacing w:before="0" w:beforeAutospacing="0" w:after="0" w:afterAutospacing="0" w:line="360" w:lineRule="auto"/>
        <w:rPr>
          <w:rFonts w:ascii="Arial" w:hAnsi="Arial" w:cs="Arial"/>
          <w:color w:val="4C4C4C"/>
        </w:rPr>
      </w:pPr>
      <w:r w:rsidRPr="004D70B9">
        <w:rPr>
          <w:rFonts w:ascii="Arial" w:hAnsi="Arial" w:cs="Arial"/>
          <w:b/>
          <w:bCs/>
          <w:color w:val="4C4C4C"/>
          <w:u w:val="single"/>
        </w:rPr>
        <w:t>Reasons for rapidly declining CDR</w:t>
      </w:r>
    </w:p>
    <w:p w:rsidR="004D70B9" w:rsidRPr="004D70B9" w:rsidRDefault="004D70B9" w:rsidP="004D70B9">
      <w:pPr>
        <w:pStyle w:val="block"/>
        <w:spacing w:before="0" w:beforeAutospacing="0" w:after="0" w:afterAutospacing="0" w:line="360" w:lineRule="auto"/>
        <w:rPr>
          <w:rFonts w:ascii="Arial" w:hAnsi="Arial" w:cs="Arial"/>
          <w:color w:val="4C4C4C"/>
        </w:rPr>
      </w:pPr>
      <w:r w:rsidRPr="004D70B9">
        <w:rPr>
          <w:rFonts w:ascii="Arial" w:hAnsi="Arial" w:cs="Arial"/>
          <w:color w:val="4C4C4C"/>
        </w:rPr>
        <w:t>- </w:t>
      </w:r>
      <w:r w:rsidRPr="004D70B9">
        <w:rPr>
          <w:rFonts w:ascii="Arial" w:hAnsi="Arial" w:cs="Arial"/>
          <w:b/>
          <w:bCs/>
          <w:color w:val="4C4C4C"/>
        </w:rPr>
        <w:t>Improved healthcare, drinking water &amp; sanitation.</w:t>
      </w:r>
      <w:r w:rsidRPr="004D70B9">
        <w:rPr>
          <w:rFonts w:ascii="Arial" w:hAnsi="Arial" w:cs="Arial"/>
          <w:color w:val="4C4C4C"/>
        </w:rPr>
        <w:t xml:space="preserve"> As countries underwent the </w:t>
      </w:r>
      <w:hyperlink r:id="rId14" w:tgtFrame="_blank" w:history="1">
        <w:r w:rsidRPr="004D70B9">
          <w:rPr>
            <w:rStyle w:val="Hyperlink"/>
            <w:rFonts w:ascii="Arial" w:hAnsi="Arial" w:cs="Arial"/>
            <w:color w:val="0079C1"/>
          </w:rPr>
          <w:t>Industrial Revolution</w:t>
        </w:r>
      </w:hyperlink>
      <w:r w:rsidRPr="004D70B9">
        <w:rPr>
          <w:rFonts w:ascii="Arial" w:hAnsi="Arial" w:cs="Arial"/>
          <w:color w:val="4C4C4C"/>
        </w:rPr>
        <w:t>, healthcare, drinking water quality and sanitary conditions gradually increased over decades. </w:t>
      </w:r>
    </w:p>
    <w:p w:rsidR="004D70B9" w:rsidRPr="004D70B9" w:rsidRDefault="004D70B9" w:rsidP="004D70B9">
      <w:pPr>
        <w:pStyle w:val="block"/>
        <w:spacing w:before="0" w:beforeAutospacing="0" w:after="0" w:afterAutospacing="0" w:line="360" w:lineRule="auto"/>
        <w:rPr>
          <w:rFonts w:ascii="Arial" w:hAnsi="Arial" w:cs="Arial"/>
          <w:color w:val="4C4C4C"/>
        </w:rPr>
      </w:pPr>
      <w:r w:rsidRPr="004D70B9">
        <w:rPr>
          <w:rFonts w:ascii="Arial" w:hAnsi="Arial" w:cs="Arial"/>
          <w:b/>
          <w:bCs/>
          <w:color w:val="4C4C4C"/>
        </w:rPr>
        <w:t>- Improved food production</w:t>
      </w:r>
      <w:r w:rsidRPr="004D70B9">
        <w:rPr>
          <w:rFonts w:ascii="Arial" w:hAnsi="Arial" w:cs="Arial"/>
          <w:color w:val="4C4C4C"/>
        </w:rPr>
        <w:t xml:space="preserve">. One of the major changes with the Industrial Revolution was improvements in </w:t>
      </w:r>
      <w:hyperlink r:id="rId15" w:tgtFrame="_blank" w:history="1">
        <w:r w:rsidRPr="004D70B9">
          <w:rPr>
            <w:rStyle w:val="Hyperlink"/>
            <w:rFonts w:ascii="Arial" w:hAnsi="Arial" w:cs="Arial"/>
            <w:color w:val="0079C1"/>
          </w:rPr>
          <w:t>agricultural production</w:t>
        </w:r>
      </w:hyperlink>
      <w:r w:rsidRPr="004D70B9">
        <w:rPr>
          <w:rFonts w:ascii="Arial" w:hAnsi="Arial" w:cs="Arial"/>
          <w:color w:val="4C4C4C"/>
        </w:rPr>
        <w:t>, which was able to support additional people. </w:t>
      </w:r>
    </w:p>
    <w:p w:rsidR="004D70B9" w:rsidRPr="004D70B9" w:rsidRDefault="004D70B9" w:rsidP="004D70B9">
      <w:pPr>
        <w:pStyle w:val="block"/>
        <w:spacing w:before="0" w:beforeAutospacing="0" w:after="0" w:afterAutospacing="0" w:line="360" w:lineRule="auto"/>
        <w:rPr>
          <w:rFonts w:ascii="Arial" w:hAnsi="Arial" w:cs="Arial"/>
          <w:color w:val="4C4C4C"/>
        </w:rPr>
      </w:pPr>
      <w:r w:rsidRPr="004D70B9">
        <w:rPr>
          <w:rFonts w:ascii="Arial" w:hAnsi="Arial" w:cs="Arial"/>
          <w:b/>
          <w:bCs/>
          <w:color w:val="4C4C4C"/>
        </w:rPr>
        <w:t>- Decreasing IMR</w:t>
      </w:r>
      <w:r w:rsidRPr="004D70B9">
        <w:rPr>
          <w:rFonts w:ascii="Arial" w:hAnsi="Arial" w:cs="Arial"/>
          <w:color w:val="4C4C4C"/>
        </w:rPr>
        <w:t xml:space="preserve">. As Infant Mortality Rates </w:t>
      </w:r>
      <w:hyperlink r:id="rId16" w:tgtFrame="_blank" w:history="1">
        <w:r w:rsidRPr="004D70B9">
          <w:rPr>
            <w:rStyle w:val="Hyperlink"/>
            <w:rFonts w:ascii="Arial" w:hAnsi="Arial" w:cs="Arial"/>
            <w:color w:val="0079C1"/>
          </w:rPr>
          <w:t>decline</w:t>
        </w:r>
      </w:hyperlink>
      <w:r w:rsidRPr="004D70B9">
        <w:rPr>
          <w:rFonts w:ascii="Arial" w:hAnsi="Arial" w:cs="Arial"/>
          <w:color w:val="4C4C4C"/>
        </w:rPr>
        <w:t>, this also means fewer overall deaths. </w:t>
      </w:r>
    </w:p>
    <w:p w:rsidR="004D70B9" w:rsidRPr="004D70B9" w:rsidRDefault="004D70B9" w:rsidP="004D70B9">
      <w:pPr>
        <w:pStyle w:val="block"/>
        <w:spacing w:before="0" w:beforeAutospacing="0" w:after="0" w:afterAutospacing="0" w:line="360" w:lineRule="auto"/>
        <w:rPr>
          <w:rFonts w:ascii="Arial" w:hAnsi="Arial" w:cs="Arial"/>
          <w:color w:val="4C4C4C"/>
        </w:rPr>
      </w:pPr>
      <w:r w:rsidRPr="004D70B9">
        <w:rPr>
          <w:rFonts w:ascii="Arial" w:hAnsi="Arial" w:cs="Arial"/>
          <w:b/>
          <w:bCs/>
          <w:color w:val="4C4C4C"/>
        </w:rPr>
        <w:t>- Outside stimulus</w:t>
      </w:r>
      <w:r w:rsidRPr="004D70B9">
        <w:rPr>
          <w:rFonts w:ascii="Arial" w:hAnsi="Arial" w:cs="Arial"/>
          <w:color w:val="4C4C4C"/>
        </w:rPr>
        <w:t xml:space="preserve">. Many MDCs have provided </w:t>
      </w:r>
      <w:hyperlink r:id="rId17" w:tgtFrame="_blank" w:history="1">
        <w:r w:rsidRPr="004D70B9">
          <w:rPr>
            <w:rStyle w:val="Hyperlink"/>
            <w:rFonts w:ascii="Arial" w:hAnsi="Arial" w:cs="Arial"/>
            <w:color w:val="0079C1"/>
          </w:rPr>
          <w:t>medical assistance and foreign investment</w:t>
        </w:r>
      </w:hyperlink>
      <w:r w:rsidRPr="004D70B9">
        <w:rPr>
          <w:rFonts w:ascii="Arial" w:hAnsi="Arial" w:cs="Arial"/>
          <w:color w:val="4C4C4C"/>
        </w:rPr>
        <w:t xml:space="preserve"> in LDCs. This has led to improvements in life expectancy, decreases in infant &amp; child mortality rate, as well as crude death rates. </w:t>
      </w:r>
    </w:p>
    <w:p w:rsidR="004D70B9" w:rsidRPr="004D70B9" w:rsidRDefault="004D70B9" w:rsidP="004D70B9">
      <w:pPr>
        <w:pStyle w:val="block"/>
        <w:spacing w:before="0" w:beforeAutospacing="0" w:after="0" w:afterAutospacing="0" w:line="360" w:lineRule="auto"/>
        <w:rPr>
          <w:rFonts w:ascii="Arial" w:hAnsi="Arial" w:cs="Arial"/>
          <w:color w:val="4C4C4C"/>
        </w:rPr>
      </w:pPr>
    </w:p>
    <w:p w:rsidR="004D70B9" w:rsidRDefault="004D70B9" w:rsidP="004D70B9">
      <w:pPr>
        <w:spacing w:after="0"/>
        <w:rPr>
          <w:rFonts w:ascii="Arial" w:hAnsi="Arial" w:cs="Arial"/>
          <w:sz w:val="24"/>
          <w:szCs w:val="24"/>
        </w:rPr>
      </w:pPr>
    </w:p>
    <w:p w:rsidR="004D70B9" w:rsidRDefault="004D70B9" w:rsidP="004D70B9">
      <w:pPr>
        <w:spacing w:after="0"/>
        <w:rPr>
          <w:rFonts w:ascii="Arial" w:hAnsi="Arial" w:cs="Arial"/>
          <w:sz w:val="24"/>
          <w:szCs w:val="24"/>
        </w:rPr>
      </w:pPr>
    </w:p>
    <w:p w:rsidR="004D70B9" w:rsidRDefault="004D70B9" w:rsidP="004D70B9">
      <w:pPr>
        <w:spacing w:after="0"/>
        <w:rPr>
          <w:rFonts w:ascii="Arial" w:hAnsi="Arial" w:cs="Arial"/>
          <w:sz w:val="24"/>
          <w:szCs w:val="24"/>
        </w:rPr>
      </w:pPr>
    </w:p>
    <w:p w:rsidR="004D70B9" w:rsidRDefault="004D70B9" w:rsidP="004D70B9">
      <w:pPr>
        <w:spacing w:after="0"/>
        <w:rPr>
          <w:rFonts w:ascii="Arial" w:hAnsi="Arial" w:cs="Arial"/>
          <w:sz w:val="24"/>
          <w:szCs w:val="24"/>
        </w:rPr>
      </w:pPr>
    </w:p>
    <w:p w:rsidR="004D70B9" w:rsidRPr="004D70B9" w:rsidRDefault="004D70B9" w:rsidP="004D70B9">
      <w:pPr>
        <w:spacing w:after="0"/>
        <w:rPr>
          <w:rFonts w:ascii="Arial" w:hAnsi="Arial" w:cs="Arial"/>
          <w:sz w:val="24"/>
          <w:szCs w:val="24"/>
        </w:rPr>
      </w:pPr>
    </w:p>
    <w:p w:rsidR="004D70B9" w:rsidRPr="004D70B9" w:rsidRDefault="004D70B9" w:rsidP="004D70B9">
      <w:pPr>
        <w:spacing w:after="0"/>
        <w:rPr>
          <w:rFonts w:ascii="Arial" w:hAnsi="Arial" w:cs="Arial"/>
          <w:sz w:val="24"/>
          <w:szCs w:val="24"/>
        </w:rPr>
      </w:pPr>
    </w:p>
    <w:p w:rsidR="004D70B9" w:rsidRPr="004D70B9" w:rsidRDefault="006B7989" w:rsidP="004D70B9">
      <w:pPr>
        <w:pStyle w:val="block"/>
        <w:spacing w:before="0" w:beforeAutospacing="0" w:after="0" w:afterAutospacing="0" w:line="360" w:lineRule="auto"/>
        <w:jc w:val="center"/>
        <w:rPr>
          <w:rFonts w:ascii="Arial" w:hAnsi="Arial" w:cs="Arial"/>
          <w:color w:val="4C4C4C"/>
        </w:rPr>
      </w:pPr>
      <w:hyperlink r:id="rId18" w:tgtFrame="_blank" w:history="1">
        <w:r w:rsidR="004D70B9" w:rsidRPr="004D70B9">
          <w:rPr>
            <w:rStyle w:val="Hyperlink"/>
            <w:rFonts w:ascii="Arial" w:hAnsi="Arial" w:cs="Arial"/>
            <w:b/>
            <w:bCs/>
            <w:color w:val="0079C1"/>
          </w:rPr>
          <w:t>Stage 3</w:t>
        </w:r>
      </w:hyperlink>
      <w:r w:rsidR="004D70B9" w:rsidRPr="004D70B9">
        <w:rPr>
          <w:rFonts w:ascii="Arial" w:hAnsi="Arial" w:cs="Arial"/>
          <w:b/>
          <w:bCs/>
          <w:color w:val="4C4C4C"/>
          <w:u w:val="single"/>
        </w:rPr>
        <w:t>: Late Expanding</w:t>
      </w:r>
    </w:p>
    <w:p w:rsidR="004D70B9" w:rsidRPr="004D70B9" w:rsidRDefault="004D70B9" w:rsidP="004D70B9">
      <w:pPr>
        <w:pStyle w:val="block"/>
        <w:spacing w:before="0" w:beforeAutospacing="0" w:after="0" w:afterAutospacing="0" w:line="360" w:lineRule="auto"/>
        <w:rPr>
          <w:rFonts w:ascii="Arial" w:hAnsi="Arial" w:cs="Arial"/>
          <w:color w:val="4C4C4C"/>
        </w:rPr>
      </w:pPr>
      <w:r w:rsidRPr="004D70B9">
        <w:rPr>
          <w:rFonts w:ascii="Arial" w:hAnsi="Arial" w:cs="Arial"/>
          <w:color w:val="4C4C4C"/>
        </w:rPr>
        <w:t>Industrialized (has undergone industrialization), large factory workforce (secondary sector)</w:t>
      </w:r>
    </w:p>
    <w:p w:rsidR="004D70B9" w:rsidRPr="004D70B9" w:rsidRDefault="004D70B9" w:rsidP="004D70B9">
      <w:pPr>
        <w:pStyle w:val="block"/>
        <w:spacing w:before="0" w:beforeAutospacing="0" w:after="0" w:afterAutospacing="0" w:line="360" w:lineRule="auto"/>
        <w:rPr>
          <w:rFonts w:ascii="Arial" w:hAnsi="Arial" w:cs="Arial"/>
          <w:color w:val="4C4C4C"/>
        </w:rPr>
      </w:pPr>
      <w:r w:rsidRPr="004D70B9">
        <w:rPr>
          <w:rFonts w:ascii="Arial" w:hAnsi="Arial" w:cs="Arial"/>
          <w:color w:val="4C4C4C"/>
        </w:rPr>
        <w:t xml:space="preserve">Corresponds with </w:t>
      </w:r>
      <w:proofErr w:type="spellStart"/>
      <w:r w:rsidRPr="004D70B9">
        <w:rPr>
          <w:rFonts w:ascii="Arial" w:hAnsi="Arial" w:cs="Arial"/>
          <w:b/>
          <w:bCs/>
          <w:color w:val="4C4C4C"/>
          <w:u w:val="single"/>
        </w:rPr>
        <w:t>semiperiphery</w:t>
      </w:r>
      <w:proofErr w:type="spellEnd"/>
      <w:r w:rsidRPr="004D70B9">
        <w:rPr>
          <w:rFonts w:ascii="Arial" w:hAnsi="Arial" w:cs="Arial"/>
          <w:color w:val="4C4C4C"/>
        </w:rPr>
        <w:t xml:space="preserve"> countries</w:t>
      </w:r>
    </w:p>
    <w:p w:rsidR="004D70B9" w:rsidRPr="004D70B9" w:rsidRDefault="004D70B9" w:rsidP="004D70B9">
      <w:pPr>
        <w:pStyle w:val="block"/>
        <w:spacing w:before="0" w:beforeAutospacing="0" w:after="0" w:afterAutospacing="0" w:line="360" w:lineRule="auto"/>
        <w:rPr>
          <w:rFonts w:ascii="Arial" w:hAnsi="Arial" w:cs="Arial"/>
          <w:color w:val="4C4C4C"/>
        </w:rPr>
      </w:pPr>
      <w:r w:rsidRPr="004D70B9">
        <w:rPr>
          <w:rFonts w:ascii="Arial" w:hAnsi="Arial" w:cs="Arial"/>
          <w:b/>
          <w:bCs/>
          <w:color w:val="4C4C4C"/>
        </w:rPr>
        <w:t>Defining characteristics</w:t>
      </w:r>
      <w:r w:rsidRPr="004D70B9">
        <w:rPr>
          <w:rFonts w:ascii="Arial" w:hAnsi="Arial" w:cs="Arial"/>
          <w:color w:val="4C4C4C"/>
        </w:rPr>
        <w:t>: Declining CBR, declining CDR, NIR increasing more slowly ("growing but slowing")</w:t>
      </w:r>
    </w:p>
    <w:p w:rsidR="004D70B9" w:rsidRPr="004D70B9" w:rsidRDefault="004D70B9" w:rsidP="004D70B9">
      <w:pPr>
        <w:pStyle w:val="block"/>
        <w:spacing w:before="0" w:beforeAutospacing="0" w:after="0" w:afterAutospacing="0" w:line="360" w:lineRule="auto"/>
        <w:rPr>
          <w:rFonts w:ascii="Arial" w:hAnsi="Arial" w:cs="Arial"/>
          <w:color w:val="4C4C4C"/>
        </w:rPr>
      </w:pPr>
      <w:r w:rsidRPr="004D70B9">
        <w:rPr>
          <w:rFonts w:ascii="Arial" w:hAnsi="Arial" w:cs="Arial"/>
          <w:b/>
          <w:bCs/>
          <w:color w:val="4C4C4C"/>
          <w:u w:val="single"/>
        </w:rPr>
        <w:t>Reasons for declining CBR</w:t>
      </w:r>
    </w:p>
    <w:p w:rsidR="004D70B9" w:rsidRPr="004D70B9" w:rsidRDefault="004D70B9" w:rsidP="004D70B9">
      <w:pPr>
        <w:pStyle w:val="block"/>
        <w:spacing w:before="0" w:beforeAutospacing="0" w:after="0" w:afterAutospacing="0" w:line="360" w:lineRule="auto"/>
        <w:rPr>
          <w:rFonts w:ascii="Arial" w:hAnsi="Arial" w:cs="Arial"/>
          <w:color w:val="4C4C4C"/>
        </w:rPr>
      </w:pPr>
      <w:r w:rsidRPr="004D70B9">
        <w:rPr>
          <w:rFonts w:ascii="Arial" w:hAnsi="Arial" w:cs="Arial"/>
          <w:b/>
          <w:bCs/>
          <w:color w:val="4C4C4C"/>
        </w:rPr>
        <w:t>- Changing status of women</w:t>
      </w:r>
      <w:r w:rsidRPr="004D70B9">
        <w:rPr>
          <w:rFonts w:ascii="Arial" w:hAnsi="Arial" w:cs="Arial"/>
          <w:color w:val="4C4C4C"/>
        </w:rPr>
        <w:t xml:space="preserve">. As countries industrialize and become more developed, gender equality generally </w:t>
      </w:r>
      <w:hyperlink r:id="rId19" w:tgtFrame="_blank" w:history="1">
        <w:r w:rsidRPr="004D70B9">
          <w:rPr>
            <w:rStyle w:val="Hyperlink"/>
            <w:rFonts w:ascii="Arial" w:hAnsi="Arial" w:cs="Arial"/>
            <w:color w:val="0079C1"/>
          </w:rPr>
          <w:t>increases</w:t>
        </w:r>
      </w:hyperlink>
      <w:r w:rsidRPr="004D70B9">
        <w:rPr>
          <w:rFonts w:ascii="Arial" w:hAnsi="Arial" w:cs="Arial"/>
          <w:color w:val="4C4C4C"/>
        </w:rPr>
        <w:t xml:space="preserve">. As women gain access to education and employment, the number of children per woman typically </w:t>
      </w:r>
      <w:hyperlink r:id="rId20" w:tgtFrame="_blank" w:history="1">
        <w:r w:rsidRPr="004D70B9">
          <w:rPr>
            <w:rStyle w:val="Hyperlink"/>
            <w:rFonts w:ascii="Arial" w:hAnsi="Arial" w:cs="Arial"/>
            <w:color w:val="0079C1"/>
          </w:rPr>
          <w:t>decreases</w:t>
        </w:r>
      </w:hyperlink>
      <w:r w:rsidRPr="004D70B9">
        <w:rPr>
          <w:rFonts w:ascii="Arial" w:hAnsi="Arial" w:cs="Arial"/>
          <w:color w:val="4C4C4C"/>
        </w:rPr>
        <w:t>. </w:t>
      </w:r>
    </w:p>
    <w:p w:rsidR="004D70B9" w:rsidRPr="004D70B9" w:rsidRDefault="004D70B9" w:rsidP="004D70B9">
      <w:pPr>
        <w:pStyle w:val="block"/>
        <w:spacing w:before="0" w:beforeAutospacing="0" w:after="0" w:afterAutospacing="0" w:line="360" w:lineRule="auto"/>
        <w:rPr>
          <w:rFonts w:ascii="Arial" w:hAnsi="Arial" w:cs="Arial"/>
          <w:color w:val="4C4C4C"/>
        </w:rPr>
      </w:pPr>
      <w:r w:rsidRPr="004D70B9">
        <w:rPr>
          <w:rFonts w:ascii="Arial" w:hAnsi="Arial" w:cs="Arial"/>
          <w:b/>
          <w:bCs/>
          <w:color w:val="4C4C4C"/>
        </w:rPr>
        <w:t>- Lower IMR</w:t>
      </w:r>
      <w:r w:rsidRPr="004D70B9">
        <w:rPr>
          <w:rFonts w:ascii="Arial" w:hAnsi="Arial" w:cs="Arial"/>
          <w:color w:val="4C4C4C"/>
        </w:rPr>
        <w:t>. As families become more confident that each child born will grow to adulthood, families will have fewer children.</w:t>
      </w:r>
    </w:p>
    <w:p w:rsidR="004D70B9" w:rsidRPr="004D70B9" w:rsidRDefault="004D70B9" w:rsidP="004D70B9">
      <w:pPr>
        <w:pStyle w:val="block"/>
        <w:spacing w:before="0" w:beforeAutospacing="0" w:after="0" w:afterAutospacing="0" w:line="360" w:lineRule="auto"/>
        <w:rPr>
          <w:rFonts w:ascii="Arial" w:hAnsi="Arial" w:cs="Arial"/>
          <w:color w:val="4C4C4C"/>
        </w:rPr>
      </w:pPr>
      <w:r w:rsidRPr="004D70B9">
        <w:rPr>
          <w:rFonts w:ascii="Arial" w:hAnsi="Arial" w:cs="Arial"/>
          <w:b/>
          <w:bCs/>
          <w:color w:val="4C4C4C"/>
        </w:rPr>
        <w:t>- Labor-saving technology</w:t>
      </w:r>
      <w:r w:rsidRPr="004D70B9">
        <w:rPr>
          <w:rFonts w:ascii="Arial" w:hAnsi="Arial" w:cs="Arial"/>
          <w:color w:val="4C4C4C"/>
        </w:rPr>
        <w:t xml:space="preserve">. As countries industrialize, the need for workers decreases as </w:t>
      </w:r>
      <w:hyperlink r:id="rId21" w:tgtFrame="_blank" w:history="1">
        <w:r w:rsidRPr="004D70B9">
          <w:rPr>
            <w:rStyle w:val="Hyperlink"/>
            <w:rFonts w:ascii="Arial" w:hAnsi="Arial" w:cs="Arial"/>
            <w:color w:val="0079C1"/>
          </w:rPr>
          <w:t>labor saving technology</w:t>
        </w:r>
      </w:hyperlink>
      <w:r w:rsidRPr="004D70B9">
        <w:rPr>
          <w:rFonts w:ascii="Arial" w:hAnsi="Arial" w:cs="Arial"/>
          <w:color w:val="4C4C4C"/>
        </w:rPr>
        <w:t xml:space="preserve"> is introduced. This reduces the need for bigger families. </w:t>
      </w:r>
    </w:p>
    <w:p w:rsidR="004D70B9" w:rsidRPr="004D70B9" w:rsidRDefault="004D70B9" w:rsidP="004D70B9">
      <w:pPr>
        <w:pStyle w:val="block"/>
        <w:spacing w:before="0" w:beforeAutospacing="0" w:after="0" w:afterAutospacing="0" w:line="360" w:lineRule="auto"/>
        <w:rPr>
          <w:rFonts w:ascii="Arial" w:hAnsi="Arial" w:cs="Arial"/>
          <w:color w:val="4C4C4C"/>
        </w:rPr>
      </w:pPr>
      <w:r w:rsidRPr="004D70B9">
        <w:rPr>
          <w:rFonts w:ascii="Arial" w:hAnsi="Arial" w:cs="Arial"/>
          <w:b/>
          <w:bCs/>
          <w:color w:val="4C4C4C"/>
        </w:rPr>
        <w:t>- Welfare/Retirement</w:t>
      </w:r>
      <w:r w:rsidRPr="004D70B9">
        <w:rPr>
          <w:rFonts w:ascii="Arial" w:hAnsi="Arial" w:cs="Arial"/>
          <w:color w:val="4C4C4C"/>
        </w:rPr>
        <w:t xml:space="preserve">. With the introduction of government welfare,  assistances, and retirement programs, like Medicare and </w:t>
      </w:r>
      <w:hyperlink r:id="rId22" w:tgtFrame="_blank" w:history="1">
        <w:r w:rsidRPr="004D70B9">
          <w:rPr>
            <w:rStyle w:val="Hyperlink"/>
            <w:rFonts w:ascii="Arial" w:hAnsi="Arial" w:cs="Arial"/>
            <w:color w:val="0079C1"/>
          </w:rPr>
          <w:t>Social Security</w:t>
        </w:r>
      </w:hyperlink>
      <w:r w:rsidRPr="004D70B9">
        <w:rPr>
          <w:rFonts w:ascii="Arial" w:hAnsi="Arial" w:cs="Arial"/>
          <w:color w:val="4C4C4C"/>
        </w:rPr>
        <w:t xml:space="preserve"> in the U.S., elderly citizens do not need children to provide for them. This in turn can lead to lower fertility rates. </w:t>
      </w:r>
    </w:p>
    <w:p w:rsidR="004D70B9" w:rsidRPr="004D70B9" w:rsidRDefault="004D70B9" w:rsidP="004D70B9">
      <w:pPr>
        <w:pStyle w:val="block"/>
        <w:spacing w:before="0" w:beforeAutospacing="0" w:after="0" w:afterAutospacing="0" w:line="360" w:lineRule="auto"/>
        <w:rPr>
          <w:rFonts w:ascii="Arial" w:hAnsi="Arial" w:cs="Arial"/>
          <w:color w:val="4C4C4C"/>
        </w:rPr>
      </w:pPr>
      <w:r w:rsidRPr="004D70B9">
        <w:rPr>
          <w:rFonts w:ascii="Arial" w:hAnsi="Arial" w:cs="Arial"/>
          <w:b/>
          <w:bCs/>
          <w:color w:val="4C4C4C"/>
        </w:rPr>
        <w:t>- Increasing urbanization</w:t>
      </w:r>
      <w:r w:rsidRPr="004D70B9">
        <w:rPr>
          <w:rFonts w:ascii="Arial" w:hAnsi="Arial" w:cs="Arial"/>
          <w:color w:val="4C4C4C"/>
        </w:rPr>
        <w:t xml:space="preserve">. As people leave the farms (rural) to work in factories (urban), demographics change. Cities have higher population densities &amp; </w:t>
      </w:r>
      <w:proofErr w:type="gramStart"/>
      <w:r w:rsidRPr="004D70B9">
        <w:rPr>
          <w:rFonts w:ascii="Arial" w:hAnsi="Arial" w:cs="Arial"/>
          <w:color w:val="4C4C4C"/>
        </w:rPr>
        <w:t>concentrations,</w:t>
      </w:r>
      <w:proofErr w:type="gramEnd"/>
      <w:r w:rsidRPr="004D70B9">
        <w:rPr>
          <w:rFonts w:ascii="Arial" w:hAnsi="Arial" w:cs="Arial"/>
          <w:color w:val="4C4C4C"/>
        </w:rPr>
        <w:t xml:space="preserve"> therefore, families tend to be smaller because it is more expensive to have a big family in the city. </w:t>
      </w:r>
    </w:p>
    <w:p w:rsidR="004D70B9" w:rsidRPr="004D70B9" w:rsidRDefault="004D70B9" w:rsidP="004D70B9">
      <w:pPr>
        <w:pStyle w:val="block"/>
        <w:spacing w:before="0" w:beforeAutospacing="0" w:after="0" w:afterAutospacing="0" w:line="360" w:lineRule="auto"/>
        <w:rPr>
          <w:rFonts w:ascii="Arial" w:hAnsi="Arial" w:cs="Arial"/>
          <w:color w:val="4C4C4C"/>
        </w:rPr>
      </w:pPr>
      <w:r w:rsidRPr="004D70B9">
        <w:rPr>
          <w:rFonts w:ascii="Arial" w:hAnsi="Arial" w:cs="Arial"/>
          <w:b/>
          <w:bCs/>
          <w:color w:val="4C4C4C"/>
        </w:rPr>
        <w:t>- Availability of family planning</w:t>
      </w:r>
      <w:r w:rsidRPr="004D70B9">
        <w:rPr>
          <w:rFonts w:ascii="Arial" w:hAnsi="Arial" w:cs="Arial"/>
          <w:color w:val="4C4C4C"/>
        </w:rPr>
        <w:t xml:space="preserve">. As families gain access to family planning (i.e. planning number of children, birth spacing, contraception, voluntary sterilization), the number of children per woman is generally </w:t>
      </w:r>
      <w:hyperlink r:id="rId23" w:tgtFrame="_blank" w:history="1">
        <w:r w:rsidRPr="004D70B9">
          <w:rPr>
            <w:rStyle w:val="Hyperlink"/>
            <w:rFonts w:ascii="Arial" w:hAnsi="Arial" w:cs="Arial"/>
            <w:color w:val="0079C1"/>
          </w:rPr>
          <w:t>lower</w:t>
        </w:r>
      </w:hyperlink>
      <w:r w:rsidRPr="004D70B9">
        <w:rPr>
          <w:rFonts w:ascii="Arial" w:hAnsi="Arial" w:cs="Arial"/>
          <w:color w:val="4C4C4C"/>
        </w:rPr>
        <w:t>. </w:t>
      </w:r>
    </w:p>
    <w:p w:rsidR="004D70B9" w:rsidRPr="004D70B9" w:rsidRDefault="004D70B9" w:rsidP="004D70B9">
      <w:pPr>
        <w:pStyle w:val="block"/>
        <w:spacing w:before="0" w:beforeAutospacing="0" w:after="0" w:afterAutospacing="0" w:line="360" w:lineRule="auto"/>
        <w:rPr>
          <w:rFonts w:ascii="Arial" w:hAnsi="Arial" w:cs="Arial"/>
          <w:color w:val="4C4C4C"/>
        </w:rPr>
      </w:pPr>
      <w:r w:rsidRPr="004D70B9">
        <w:rPr>
          <w:rFonts w:ascii="Arial" w:hAnsi="Arial" w:cs="Arial"/>
          <w:b/>
          <w:bCs/>
          <w:color w:val="4C4C4C"/>
          <w:u w:val="single"/>
        </w:rPr>
        <w:t>Reasons for declining CDR</w:t>
      </w:r>
    </w:p>
    <w:p w:rsidR="004D70B9" w:rsidRPr="004D70B9" w:rsidRDefault="004D70B9" w:rsidP="004D70B9">
      <w:pPr>
        <w:pStyle w:val="block"/>
        <w:spacing w:before="0" w:beforeAutospacing="0" w:after="0" w:afterAutospacing="0" w:line="360" w:lineRule="auto"/>
        <w:rPr>
          <w:rFonts w:ascii="Arial" w:hAnsi="Arial" w:cs="Arial"/>
          <w:color w:val="4C4C4C"/>
        </w:rPr>
      </w:pPr>
      <w:r w:rsidRPr="004D70B9">
        <w:rPr>
          <w:rFonts w:ascii="Arial" w:hAnsi="Arial" w:cs="Arial"/>
          <w:b/>
          <w:bCs/>
          <w:color w:val="4C4C4C"/>
        </w:rPr>
        <w:t>- Same reasons as stage 2</w:t>
      </w:r>
      <w:r w:rsidRPr="004D70B9">
        <w:rPr>
          <w:rFonts w:ascii="Arial" w:hAnsi="Arial" w:cs="Arial"/>
          <w:color w:val="4C4C4C"/>
        </w:rPr>
        <w:t>. The CDR is still declining but at a slower rate than stage 2</w:t>
      </w:r>
    </w:p>
    <w:p w:rsidR="004D70B9" w:rsidRDefault="004D70B9" w:rsidP="004D70B9">
      <w:pPr>
        <w:spacing w:after="0"/>
        <w:rPr>
          <w:rFonts w:ascii="Arial" w:hAnsi="Arial" w:cs="Arial"/>
          <w:sz w:val="24"/>
          <w:szCs w:val="24"/>
        </w:rPr>
      </w:pPr>
    </w:p>
    <w:p w:rsidR="004D70B9" w:rsidRDefault="004D70B9" w:rsidP="004D70B9">
      <w:pPr>
        <w:spacing w:after="0"/>
        <w:rPr>
          <w:rFonts w:ascii="Arial" w:hAnsi="Arial" w:cs="Arial"/>
          <w:sz w:val="24"/>
          <w:szCs w:val="24"/>
        </w:rPr>
      </w:pPr>
    </w:p>
    <w:p w:rsidR="004D70B9" w:rsidRDefault="004D70B9" w:rsidP="004D70B9">
      <w:pPr>
        <w:spacing w:after="0"/>
        <w:rPr>
          <w:rFonts w:ascii="Arial" w:hAnsi="Arial" w:cs="Arial"/>
          <w:sz w:val="24"/>
          <w:szCs w:val="24"/>
        </w:rPr>
      </w:pPr>
    </w:p>
    <w:p w:rsidR="004D70B9" w:rsidRDefault="004D70B9" w:rsidP="004D70B9">
      <w:pPr>
        <w:spacing w:after="0"/>
        <w:rPr>
          <w:rFonts w:ascii="Arial" w:hAnsi="Arial" w:cs="Arial"/>
          <w:sz w:val="24"/>
          <w:szCs w:val="24"/>
        </w:rPr>
      </w:pPr>
    </w:p>
    <w:p w:rsidR="004D70B9" w:rsidRDefault="004D70B9" w:rsidP="004D70B9">
      <w:pPr>
        <w:spacing w:after="0"/>
        <w:rPr>
          <w:rFonts w:ascii="Arial" w:hAnsi="Arial" w:cs="Arial"/>
          <w:sz w:val="24"/>
          <w:szCs w:val="24"/>
        </w:rPr>
      </w:pPr>
    </w:p>
    <w:p w:rsidR="004D70B9" w:rsidRDefault="004D70B9" w:rsidP="004D70B9">
      <w:pPr>
        <w:spacing w:after="0"/>
        <w:rPr>
          <w:rFonts w:ascii="Arial" w:hAnsi="Arial" w:cs="Arial"/>
          <w:sz w:val="24"/>
          <w:szCs w:val="24"/>
        </w:rPr>
      </w:pPr>
    </w:p>
    <w:p w:rsidR="004D70B9" w:rsidRPr="004D70B9" w:rsidRDefault="004D70B9" w:rsidP="004D70B9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D70B9" w:rsidRPr="004D70B9" w:rsidRDefault="006B7989" w:rsidP="004D70B9">
      <w:pPr>
        <w:pStyle w:val="block"/>
        <w:spacing w:before="0" w:beforeAutospacing="0" w:after="0" w:afterAutospacing="0" w:line="360" w:lineRule="auto"/>
        <w:jc w:val="center"/>
        <w:rPr>
          <w:rFonts w:ascii="Arial" w:hAnsi="Arial" w:cs="Arial"/>
          <w:color w:val="4C4C4C"/>
        </w:rPr>
      </w:pPr>
      <w:hyperlink r:id="rId24" w:tgtFrame="_blank" w:history="1">
        <w:r w:rsidR="004D70B9" w:rsidRPr="004D70B9">
          <w:rPr>
            <w:rStyle w:val="Hyperlink"/>
            <w:rFonts w:ascii="Arial" w:hAnsi="Arial" w:cs="Arial"/>
            <w:b/>
            <w:bCs/>
            <w:color w:val="0079C1"/>
          </w:rPr>
          <w:t>Stage 4</w:t>
        </w:r>
      </w:hyperlink>
      <w:r w:rsidR="004D70B9" w:rsidRPr="004D70B9">
        <w:rPr>
          <w:rFonts w:ascii="Arial" w:hAnsi="Arial" w:cs="Arial"/>
          <w:b/>
          <w:bCs/>
          <w:color w:val="4C4C4C"/>
          <w:u w:val="single"/>
        </w:rPr>
        <w:t xml:space="preserve"> - Low Stationary</w:t>
      </w:r>
    </w:p>
    <w:p w:rsidR="004D70B9" w:rsidRPr="004D70B9" w:rsidRDefault="004D70B9" w:rsidP="004D70B9">
      <w:pPr>
        <w:pStyle w:val="block"/>
        <w:spacing w:before="0" w:beforeAutospacing="0" w:after="0" w:afterAutospacing="0" w:line="360" w:lineRule="auto"/>
        <w:rPr>
          <w:rFonts w:ascii="Arial" w:hAnsi="Arial" w:cs="Arial"/>
          <w:color w:val="4C4C4C"/>
        </w:rPr>
      </w:pPr>
      <w:r w:rsidRPr="004D70B9">
        <w:rPr>
          <w:rFonts w:ascii="Arial" w:hAnsi="Arial" w:cs="Arial"/>
          <w:color w:val="4C4C4C"/>
        </w:rPr>
        <w:t>Post-industrial society, large labor market based on the provision of services (tertiary is dominant, while secondary and primary are stagnant or declining).</w:t>
      </w:r>
    </w:p>
    <w:p w:rsidR="004D70B9" w:rsidRPr="004D70B9" w:rsidRDefault="004D70B9" w:rsidP="004D70B9">
      <w:pPr>
        <w:pStyle w:val="block"/>
        <w:spacing w:before="0" w:beforeAutospacing="0" w:after="0" w:afterAutospacing="0" w:line="360" w:lineRule="auto"/>
        <w:rPr>
          <w:rFonts w:ascii="Arial" w:hAnsi="Arial" w:cs="Arial"/>
          <w:color w:val="4C4C4C"/>
        </w:rPr>
      </w:pPr>
      <w:r w:rsidRPr="004D70B9">
        <w:rPr>
          <w:rFonts w:ascii="Arial" w:hAnsi="Arial" w:cs="Arial"/>
          <w:color w:val="4C4C4C"/>
        </w:rPr>
        <w:t>Corresponds with </w:t>
      </w:r>
      <w:r w:rsidRPr="004D70B9">
        <w:rPr>
          <w:rFonts w:ascii="Arial" w:hAnsi="Arial" w:cs="Arial"/>
          <w:b/>
          <w:bCs/>
          <w:color w:val="4C4C4C"/>
          <w:u w:val="single"/>
        </w:rPr>
        <w:t>core</w:t>
      </w:r>
      <w:r w:rsidRPr="004D70B9">
        <w:rPr>
          <w:rFonts w:ascii="Arial" w:hAnsi="Arial" w:cs="Arial"/>
          <w:color w:val="4C4C4C"/>
        </w:rPr>
        <w:t> countries</w:t>
      </w:r>
    </w:p>
    <w:p w:rsidR="004D70B9" w:rsidRPr="004D70B9" w:rsidRDefault="004D70B9" w:rsidP="004D70B9">
      <w:pPr>
        <w:pStyle w:val="block"/>
        <w:spacing w:before="0" w:beforeAutospacing="0" w:after="0" w:afterAutospacing="0" w:line="360" w:lineRule="auto"/>
        <w:rPr>
          <w:rFonts w:ascii="Arial" w:hAnsi="Arial" w:cs="Arial"/>
          <w:color w:val="4C4C4C"/>
        </w:rPr>
      </w:pPr>
      <w:r w:rsidRPr="004D70B9">
        <w:rPr>
          <w:rFonts w:ascii="Arial" w:hAnsi="Arial" w:cs="Arial"/>
          <w:b/>
          <w:bCs/>
          <w:color w:val="4C4C4C"/>
        </w:rPr>
        <w:t>Defining characteristics</w:t>
      </w:r>
      <w:r w:rsidRPr="004D70B9">
        <w:rPr>
          <w:rFonts w:ascii="Arial" w:hAnsi="Arial" w:cs="Arial"/>
          <w:color w:val="4C4C4C"/>
        </w:rPr>
        <w:t>: Low CBR, low CDR, low/no NIR, high total population</w:t>
      </w:r>
    </w:p>
    <w:p w:rsidR="004D70B9" w:rsidRPr="004D70B9" w:rsidRDefault="004D70B9" w:rsidP="004D70B9">
      <w:pPr>
        <w:pStyle w:val="block"/>
        <w:spacing w:before="0" w:beforeAutospacing="0" w:after="0" w:afterAutospacing="0" w:line="360" w:lineRule="auto"/>
        <w:rPr>
          <w:rFonts w:ascii="Arial" w:hAnsi="Arial" w:cs="Arial"/>
          <w:color w:val="4C4C4C"/>
        </w:rPr>
      </w:pPr>
      <w:r w:rsidRPr="004D70B9">
        <w:rPr>
          <w:rFonts w:ascii="Arial" w:hAnsi="Arial" w:cs="Arial"/>
          <w:b/>
          <w:bCs/>
          <w:color w:val="4C4C4C"/>
          <w:u w:val="single"/>
        </w:rPr>
        <w:t>Reasons for low CBR</w:t>
      </w:r>
    </w:p>
    <w:p w:rsidR="004D70B9" w:rsidRPr="004D70B9" w:rsidRDefault="004D70B9" w:rsidP="004D70B9">
      <w:pPr>
        <w:pStyle w:val="block"/>
        <w:spacing w:before="0" w:beforeAutospacing="0" w:after="0" w:afterAutospacing="0" w:line="360" w:lineRule="auto"/>
        <w:rPr>
          <w:rFonts w:ascii="Arial" w:hAnsi="Arial" w:cs="Arial"/>
          <w:color w:val="4C4C4C"/>
        </w:rPr>
      </w:pPr>
      <w:r w:rsidRPr="004D70B9">
        <w:rPr>
          <w:rFonts w:ascii="Arial" w:hAnsi="Arial" w:cs="Arial"/>
          <w:b/>
          <w:bCs/>
          <w:color w:val="4C4C4C"/>
        </w:rPr>
        <w:t>- Same reasons as stage 3</w:t>
      </w:r>
      <w:r w:rsidRPr="004D70B9">
        <w:rPr>
          <w:rFonts w:ascii="Arial" w:hAnsi="Arial" w:cs="Arial"/>
          <w:color w:val="4C4C4C"/>
        </w:rPr>
        <w:t>. The CBR has declined to a low overall level. </w:t>
      </w:r>
    </w:p>
    <w:p w:rsidR="004D70B9" w:rsidRPr="004D70B9" w:rsidRDefault="004D70B9" w:rsidP="004D70B9">
      <w:pPr>
        <w:pStyle w:val="block"/>
        <w:spacing w:before="0" w:beforeAutospacing="0" w:after="0" w:afterAutospacing="0" w:line="360" w:lineRule="auto"/>
        <w:rPr>
          <w:rFonts w:ascii="Arial" w:hAnsi="Arial" w:cs="Arial"/>
          <w:color w:val="4C4C4C"/>
        </w:rPr>
      </w:pPr>
      <w:r w:rsidRPr="004D70B9">
        <w:rPr>
          <w:rFonts w:ascii="Arial" w:hAnsi="Arial" w:cs="Arial"/>
          <w:b/>
          <w:bCs/>
          <w:color w:val="4C4C4C"/>
          <w:u w:val="single"/>
        </w:rPr>
        <w:t>Reasons for low CDR</w:t>
      </w:r>
    </w:p>
    <w:p w:rsidR="004D70B9" w:rsidRPr="004D70B9" w:rsidRDefault="004D70B9" w:rsidP="004D70B9">
      <w:pPr>
        <w:pStyle w:val="block"/>
        <w:spacing w:before="0" w:beforeAutospacing="0" w:after="0" w:afterAutospacing="0" w:line="360" w:lineRule="auto"/>
        <w:rPr>
          <w:rFonts w:ascii="Arial" w:hAnsi="Arial" w:cs="Arial"/>
          <w:color w:val="4C4C4C"/>
        </w:rPr>
      </w:pPr>
      <w:r w:rsidRPr="004D70B9">
        <w:rPr>
          <w:rFonts w:ascii="Arial" w:hAnsi="Arial" w:cs="Arial"/>
          <w:b/>
          <w:bCs/>
          <w:color w:val="4C4C4C"/>
        </w:rPr>
        <w:t>- Same reasons as stages 2 &amp; 3</w:t>
      </w:r>
      <w:r w:rsidRPr="004D70B9">
        <w:rPr>
          <w:rFonts w:ascii="Arial" w:hAnsi="Arial" w:cs="Arial"/>
          <w:color w:val="4C4C4C"/>
        </w:rPr>
        <w:t>. The CDR has declined to a low overall level.</w:t>
      </w:r>
    </w:p>
    <w:p w:rsidR="004D70B9" w:rsidRPr="004D70B9" w:rsidRDefault="004D70B9" w:rsidP="004D70B9">
      <w:pPr>
        <w:spacing w:after="0"/>
        <w:rPr>
          <w:rFonts w:ascii="Arial" w:hAnsi="Arial" w:cs="Arial"/>
          <w:sz w:val="24"/>
          <w:szCs w:val="24"/>
        </w:rPr>
      </w:pPr>
    </w:p>
    <w:sectPr w:rsidR="004D70B9" w:rsidRPr="004D7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B9"/>
    <w:rsid w:val="004D70B9"/>
    <w:rsid w:val="006B7989"/>
    <w:rsid w:val="0091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59281-22D6-4F57-BDCC-3B58E157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">
    <w:name w:val="block"/>
    <w:basedOn w:val="Normal"/>
    <w:rsid w:val="004D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D70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wforum.org/2017/04/05/the-changing-global-religious-landscape/pf_17-04-05_projectionsupdate_fertility640px/" TargetMode="External"/><Relationship Id="rId13" Type="http://schemas.openxmlformats.org/officeDocument/2006/relationships/hyperlink" Target="https://populationeducation.org/stage-2-demographic-transition-model/" TargetMode="External"/><Relationship Id="rId18" Type="http://schemas.openxmlformats.org/officeDocument/2006/relationships/hyperlink" Target="https://populationeducation.org/stage-3-demographic-transition-model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slideplayer.com/6431118/22/images/20/Tractors+per+1000+Hectares+of+Cropland.jpg" TargetMode="External"/><Relationship Id="rId7" Type="http://schemas.openxmlformats.org/officeDocument/2006/relationships/hyperlink" Target="http://www.pewforum.org/2017/04/05/the-changing-global-religious-landscape/" TargetMode="External"/><Relationship Id="rId12" Type="http://schemas.openxmlformats.org/officeDocument/2006/relationships/hyperlink" Target="http://cdn3.chartsbin.com/chartimages/l_37590_542205365d927b3814dd29376ee8b962" TargetMode="External"/><Relationship Id="rId17" Type="http://schemas.openxmlformats.org/officeDocument/2006/relationships/hyperlink" Target="https://med.stanford.edu/news/all-news/2014/04/health-care-aid-for-developing-countries-boosts-life-expectancy-study-finds.htm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rive.google.com/open?id=1voo9lcy-KJ3e7nbHX_1-OA71uYlu0GCn" TargetMode="External"/><Relationship Id="rId20" Type="http://schemas.openxmlformats.org/officeDocument/2006/relationships/hyperlink" Target="http://worldpopulationhistory.org/womens-status-and-fertility-rat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newuh.files.wordpress.com/2012/07/world_contraceptive_use.jpg" TargetMode="External"/><Relationship Id="rId11" Type="http://schemas.openxmlformats.org/officeDocument/2006/relationships/hyperlink" Target="http://cdn3.chartsbin.com/chartimages/l_gcu_7ed00ae715e9568d6ffbdb3a4d3d648d" TargetMode="External"/><Relationship Id="rId24" Type="http://schemas.openxmlformats.org/officeDocument/2006/relationships/hyperlink" Target="https://populationeducation.org/stage-4-demographic-transition-model/" TargetMode="External"/><Relationship Id="rId5" Type="http://schemas.openxmlformats.org/officeDocument/2006/relationships/hyperlink" Target="https://populationeducation.org/stage-1-demographic-transition-model/" TargetMode="External"/><Relationship Id="rId15" Type="http://schemas.openxmlformats.org/officeDocument/2006/relationships/hyperlink" Target="https://industrialrevolution.sea.ca/innovations.html" TargetMode="External"/><Relationship Id="rId23" Type="http://schemas.openxmlformats.org/officeDocument/2006/relationships/hyperlink" Target="https://newuh.files.wordpress.com/2012/07/world_contraceptive_use.jpg" TargetMode="External"/><Relationship Id="rId10" Type="http://schemas.openxmlformats.org/officeDocument/2006/relationships/hyperlink" Target="http://www.un.org/en/events/toiletday/" TargetMode="External"/><Relationship Id="rId19" Type="http://schemas.openxmlformats.org/officeDocument/2006/relationships/hyperlink" Target="http://slideplayer.com/7244130/24/images/21/Global+GDI+%28Gender+Development+Index%29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blogs.worldbank.org/opendata/chart-24-billion-people-live-without-access-toilets" TargetMode="External"/><Relationship Id="rId14" Type="http://schemas.openxmlformats.org/officeDocument/2006/relationships/hyperlink" Target="https://www.thoughtco.com/public-health-in-the-industrial-revolution-1221641" TargetMode="External"/><Relationship Id="rId22" Type="http://schemas.openxmlformats.org/officeDocument/2006/relationships/hyperlink" Target="https://drive.google.com/open?id=1lJDXJYiDgPe1LmE0DBdeyNza_k3pjZg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Hogarth</dc:creator>
  <cp:keywords/>
  <dc:description/>
  <cp:lastModifiedBy>Emily Hogarth</cp:lastModifiedBy>
  <cp:revision>3</cp:revision>
  <cp:lastPrinted>2019-09-04T16:21:00Z</cp:lastPrinted>
  <dcterms:created xsi:type="dcterms:W3CDTF">2019-09-04T00:00:00Z</dcterms:created>
  <dcterms:modified xsi:type="dcterms:W3CDTF">2019-09-04T16:21:00Z</dcterms:modified>
</cp:coreProperties>
</file>