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BA" w:rsidRPr="00E40A64" w:rsidRDefault="00E40A64">
      <w:pPr>
        <w:rPr>
          <w:sz w:val="52"/>
          <w:szCs w:val="52"/>
        </w:rPr>
      </w:pPr>
      <w:bookmarkStart w:id="0" w:name="_GoBack"/>
      <w:r w:rsidRPr="00E40A64">
        <w:rPr>
          <w:sz w:val="52"/>
          <w:szCs w:val="52"/>
          <w:u w:val="single"/>
        </w:rPr>
        <w:t>FRQ #1</w:t>
      </w:r>
      <w:r w:rsidRPr="00E40A64">
        <w:rPr>
          <w:sz w:val="52"/>
          <w:szCs w:val="52"/>
        </w:rPr>
        <w:t xml:space="preserve"> </w:t>
      </w:r>
      <w:bookmarkEnd w:id="0"/>
      <w:r>
        <w:rPr>
          <w:sz w:val="52"/>
          <w:szCs w:val="52"/>
        </w:rPr>
        <w:t xml:space="preserve">– 25 Mins </w:t>
      </w:r>
    </w:p>
    <w:p w:rsidR="00E40A64" w:rsidRDefault="00E40A64"/>
    <w:p w:rsidR="00E40A64" w:rsidRDefault="00E40A64" w:rsidP="00E40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hyperlink r:id="rId5">
        <w:r>
          <w:rPr>
            <w:b/>
            <w:noProof/>
            <w:color w:val="1155CC"/>
            <w:u w:val="single"/>
          </w:rPr>
          <w:drawing>
            <wp:inline distT="114300" distB="114300" distL="114300" distR="114300" wp14:anchorId="40B89C26" wp14:editId="054B2B36">
              <wp:extent cx="4257675" cy="3581400"/>
              <wp:effectExtent l="0" t="0" r="0" b="0"/>
              <wp:docPr id="112" name="image8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57675" cy="3581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E40A64" w:rsidRDefault="00E40A64" w:rsidP="00E40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40A64" w:rsidRDefault="00E40A64" w:rsidP="00E40A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u w:val="single"/>
        </w:rPr>
        <w:t>Identify</w:t>
      </w:r>
      <w:r>
        <w:t xml:space="preserve"> the map type that is used to illustrate the amount of indigenous population by number.</w:t>
      </w:r>
    </w:p>
    <w:p w:rsidR="00E40A64" w:rsidRDefault="00E40A64" w:rsidP="00E40A64">
      <w:pPr>
        <w:widowControl w:val="0"/>
        <w:numPr>
          <w:ilvl w:val="0"/>
          <w:numId w:val="2"/>
        </w:numPr>
        <w:spacing w:after="0" w:line="240" w:lineRule="auto"/>
      </w:pPr>
      <w:r>
        <w:rPr>
          <w:u w:val="single"/>
        </w:rPr>
        <w:t>Compare</w:t>
      </w:r>
      <w:r>
        <w:t xml:space="preserve"> reference maps and thematic maps.</w:t>
      </w:r>
    </w:p>
    <w:p w:rsidR="00E40A64" w:rsidRDefault="00E40A64" w:rsidP="00E40A64">
      <w:pPr>
        <w:widowControl w:val="0"/>
        <w:numPr>
          <w:ilvl w:val="0"/>
          <w:numId w:val="2"/>
        </w:numPr>
        <w:spacing w:after="0" w:line="240" w:lineRule="auto"/>
      </w:pPr>
      <w:r>
        <w:rPr>
          <w:u w:val="single"/>
        </w:rPr>
        <w:t>Describe</w:t>
      </w:r>
      <w:r>
        <w:t xml:space="preserve"> the spatial distribution for indigenous Australians in Map A.</w:t>
      </w:r>
    </w:p>
    <w:p w:rsidR="00E40A64" w:rsidRDefault="00E40A64" w:rsidP="00E40A64">
      <w:pPr>
        <w:widowControl w:val="0"/>
        <w:numPr>
          <w:ilvl w:val="0"/>
          <w:numId w:val="2"/>
        </w:numPr>
        <w:spacing w:after="0" w:line="240" w:lineRule="auto"/>
      </w:pPr>
      <w:r>
        <w:rPr>
          <w:u w:val="single"/>
        </w:rPr>
        <w:t>Describe</w:t>
      </w:r>
      <w:r>
        <w:t xml:space="preserve"> the relationship between the location of exclusive and non-exclusive possessions of native lands and the distribution of Australia’s indigenous populations.</w:t>
      </w:r>
    </w:p>
    <w:p w:rsidR="00E40A64" w:rsidRDefault="00E40A64" w:rsidP="00E40A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u w:val="single"/>
        </w:rPr>
        <w:t>Explain</w:t>
      </w:r>
      <w:r>
        <w:t xml:space="preserve"> why using relative distances and directions can be useful when interpreting geospatial data. </w:t>
      </w:r>
    </w:p>
    <w:p w:rsidR="00E40A64" w:rsidRDefault="00E40A64" w:rsidP="00E40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E40A64" w:rsidRDefault="00E40A64"/>
    <w:p w:rsidR="00E40A64" w:rsidRDefault="00E40A64"/>
    <w:p w:rsidR="00E40A64" w:rsidRDefault="00E40A64"/>
    <w:p w:rsidR="00E40A64" w:rsidRDefault="00E40A64"/>
    <w:p w:rsidR="00E40A64" w:rsidRDefault="00E40A64"/>
    <w:p w:rsidR="00E40A64" w:rsidRDefault="00E40A64"/>
    <w:p w:rsidR="00E40A64" w:rsidRDefault="00E40A64"/>
    <w:p w:rsidR="00E40A64" w:rsidRPr="00E40A64" w:rsidRDefault="00E40A64">
      <w:pPr>
        <w:rPr>
          <w:b/>
          <w:bCs/>
          <w:sz w:val="48"/>
          <w:szCs w:val="48"/>
          <w:u w:val="single"/>
        </w:rPr>
      </w:pPr>
      <w:r w:rsidRPr="00E40A64">
        <w:rPr>
          <w:b/>
          <w:bCs/>
          <w:sz w:val="48"/>
          <w:szCs w:val="48"/>
          <w:u w:val="single"/>
        </w:rPr>
        <w:lastRenderedPageBreak/>
        <w:t>FRQ #2</w:t>
      </w:r>
      <w:r>
        <w:rPr>
          <w:b/>
          <w:bCs/>
          <w:sz w:val="48"/>
          <w:szCs w:val="48"/>
          <w:u w:val="single"/>
        </w:rPr>
        <w:t xml:space="preserve">- 15 mins </w:t>
      </w:r>
    </w:p>
    <w:p w:rsidR="00E40A64" w:rsidRDefault="00E40A64"/>
    <w:p w:rsidR="00E40A64" w:rsidRPr="00146162" w:rsidRDefault="00E40A64" w:rsidP="00E40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2">
        <w:rPr>
          <w:rFonts w:eastAsia="Times New Roman"/>
          <w:b/>
          <w:bCs/>
          <w:color w:val="000000"/>
        </w:rPr>
        <w:t>Cell Tower Coverage</w:t>
      </w:r>
    </w:p>
    <w:p w:rsidR="00E40A64" w:rsidRPr="00146162" w:rsidRDefault="00E40A64" w:rsidP="00E40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62">
        <w:rPr>
          <w:rFonts w:eastAsia="Times New Roman"/>
          <w:noProof/>
          <w:color w:val="1155CC"/>
          <w:bdr w:val="none" w:sz="0" w:space="0" w:color="auto" w:frame="1"/>
        </w:rPr>
        <w:drawing>
          <wp:inline distT="0" distB="0" distL="0" distR="0" wp14:anchorId="54A6FCE2" wp14:editId="2540540D">
            <wp:extent cx="4267200" cy="2266950"/>
            <wp:effectExtent l="0" t="0" r="0" b="0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64" w:rsidRPr="00146162" w:rsidRDefault="00E40A64" w:rsidP="00E40A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A64" w:rsidRPr="00146162" w:rsidRDefault="00E40A64" w:rsidP="00E40A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46162">
        <w:rPr>
          <w:rFonts w:eastAsia="Times New Roman"/>
          <w:color w:val="000000"/>
          <w:u w:val="single"/>
        </w:rPr>
        <w:t>Define</w:t>
      </w:r>
      <w:r w:rsidRPr="00146162">
        <w:rPr>
          <w:rFonts w:eastAsia="Times New Roman"/>
          <w:color w:val="000000"/>
        </w:rPr>
        <w:t xml:space="preserve"> </w:t>
      </w:r>
      <w:r w:rsidRPr="00146162">
        <w:rPr>
          <w:rFonts w:eastAsia="Times New Roman"/>
          <w:i/>
          <w:iCs/>
          <w:color w:val="000000"/>
        </w:rPr>
        <w:t>region</w:t>
      </w:r>
      <w:r w:rsidRPr="00146162">
        <w:rPr>
          <w:rFonts w:eastAsia="Times New Roman"/>
          <w:color w:val="000000"/>
        </w:rPr>
        <w:t>.</w:t>
      </w:r>
    </w:p>
    <w:p w:rsidR="00E40A64" w:rsidRPr="00146162" w:rsidRDefault="00E40A64" w:rsidP="00E40A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46162">
        <w:rPr>
          <w:rFonts w:eastAsia="Times New Roman"/>
          <w:color w:val="000000"/>
          <w:u w:val="single"/>
        </w:rPr>
        <w:t>Identify</w:t>
      </w:r>
      <w:r w:rsidRPr="00146162">
        <w:rPr>
          <w:rFonts w:eastAsia="Times New Roman"/>
          <w:color w:val="000000"/>
        </w:rPr>
        <w:t xml:space="preserve"> whether the image portrays an example of a </w:t>
      </w:r>
      <w:r w:rsidRPr="00146162">
        <w:rPr>
          <w:rFonts w:eastAsia="Times New Roman"/>
          <w:i/>
          <w:iCs/>
          <w:color w:val="000000"/>
        </w:rPr>
        <w:t>formal</w:t>
      </w:r>
      <w:r w:rsidRPr="00146162">
        <w:rPr>
          <w:rFonts w:eastAsia="Times New Roman"/>
          <w:color w:val="000000"/>
        </w:rPr>
        <w:t xml:space="preserve">, </w:t>
      </w:r>
      <w:r w:rsidRPr="00146162">
        <w:rPr>
          <w:rFonts w:eastAsia="Times New Roman"/>
          <w:i/>
          <w:iCs/>
          <w:color w:val="000000"/>
        </w:rPr>
        <w:t>functional</w:t>
      </w:r>
      <w:r w:rsidRPr="00146162">
        <w:rPr>
          <w:rFonts w:eastAsia="Times New Roman"/>
          <w:color w:val="000000"/>
        </w:rPr>
        <w:t xml:space="preserve">, or </w:t>
      </w:r>
      <w:r w:rsidRPr="00146162">
        <w:rPr>
          <w:rFonts w:eastAsia="Times New Roman"/>
          <w:i/>
          <w:iCs/>
          <w:color w:val="000000"/>
        </w:rPr>
        <w:t>vernacular</w:t>
      </w:r>
      <w:r w:rsidRPr="00146162">
        <w:rPr>
          <w:rFonts w:eastAsia="Times New Roman"/>
          <w:color w:val="000000"/>
        </w:rPr>
        <w:t xml:space="preserve"> region.</w:t>
      </w:r>
    </w:p>
    <w:p w:rsidR="00E40A64" w:rsidRPr="00146162" w:rsidRDefault="00E40A64" w:rsidP="00E40A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146162">
        <w:rPr>
          <w:rFonts w:eastAsia="Times New Roman"/>
          <w:color w:val="000000"/>
          <w:u w:val="single"/>
        </w:rPr>
        <w:t>Explain</w:t>
      </w:r>
      <w:r w:rsidRPr="00146162">
        <w:rPr>
          <w:rFonts w:eastAsia="Times New Roman"/>
          <w:color w:val="000000"/>
        </w:rPr>
        <w:t xml:space="preserve"> why using a regional approach to measuring internet connectivity is more beneficial than using political borders.</w:t>
      </w:r>
    </w:p>
    <w:p w:rsidR="00E40A64" w:rsidRDefault="00E40A64" w:rsidP="00E40A64">
      <w:r w:rsidRPr="00146162">
        <w:rPr>
          <w:rFonts w:eastAsia="Times New Roman"/>
          <w:color w:val="000000"/>
          <w:u w:val="single"/>
        </w:rPr>
        <w:t>Compare</w:t>
      </w:r>
      <w:r w:rsidRPr="00146162">
        <w:rPr>
          <w:rFonts w:eastAsia="Times New Roman"/>
          <w:color w:val="000000"/>
        </w:rPr>
        <w:t xml:space="preserve"> the ways in which a regional analysis can be used when investigating the existence of a digital divide at various scales.</w:t>
      </w:r>
    </w:p>
    <w:p w:rsidR="00E40A64" w:rsidRDefault="00E40A64"/>
    <w:sectPr w:rsidR="00E4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BC3"/>
    <w:multiLevelType w:val="multilevel"/>
    <w:tmpl w:val="B836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166E8"/>
    <w:multiLevelType w:val="multilevel"/>
    <w:tmpl w:val="19FACC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64"/>
    <w:rsid w:val="007E5AC4"/>
    <w:rsid w:val="00D37ABA"/>
    <w:rsid w:val="00E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2E7"/>
  <w15:chartTrackingRefBased/>
  <w15:docId w15:val="{2AFBD3F8-DE2A-42EB-B3E1-88A269C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izocom.com/internet/difference-cellular-satellite-communications/coverage-map-1024x5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esearchgate.net/figure/Distribution-of-Indigenous-population-in-Australia-and-exclusive-native-title-and-land_fig3_3208819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1</cp:revision>
  <dcterms:created xsi:type="dcterms:W3CDTF">2020-04-15T13:47:00Z</dcterms:created>
  <dcterms:modified xsi:type="dcterms:W3CDTF">2020-04-15T13:52:00Z</dcterms:modified>
</cp:coreProperties>
</file>